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B726" w14:textId="2DF769FE" w:rsidR="003A4523" w:rsidRDefault="003B7573" w:rsidP="5ADF0D65">
      <w:pPr>
        <w:rPr>
          <w:rFonts w:ascii="Arial" w:hAnsi="Arial" w:cs="Arial"/>
          <w:sz w:val="20"/>
          <w:szCs w:val="20"/>
        </w:rPr>
      </w:pPr>
      <w:r w:rsidRPr="5ADF0D65">
        <w:rPr>
          <w:rFonts w:ascii="Arial" w:hAnsi="Arial" w:cs="Arial"/>
          <w:sz w:val="20"/>
          <w:szCs w:val="20"/>
        </w:rPr>
        <w:t xml:space="preserve">Blofield Primary School - </w:t>
      </w:r>
      <w:r w:rsidR="003A4523" w:rsidRPr="5ADF0D65">
        <w:rPr>
          <w:rFonts w:ascii="Arial" w:hAnsi="Arial" w:cs="Arial"/>
          <w:sz w:val="20"/>
          <w:szCs w:val="20"/>
        </w:rPr>
        <w:t xml:space="preserve">Handwriting Progression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551"/>
        <w:gridCol w:w="2126"/>
        <w:gridCol w:w="2127"/>
        <w:gridCol w:w="1984"/>
        <w:gridCol w:w="2210"/>
      </w:tblGrid>
      <w:tr w:rsidR="002D6D7F" w14:paraId="3FC6892B" w14:textId="42E8A2B7" w:rsidTr="5ADF0D65">
        <w:tc>
          <w:tcPr>
            <w:tcW w:w="1980" w:type="dxa"/>
          </w:tcPr>
          <w:p w14:paraId="0EBA1810" w14:textId="1985460A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Reception</w:t>
            </w:r>
          </w:p>
        </w:tc>
        <w:tc>
          <w:tcPr>
            <w:tcW w:w="2410" w:type="dxa"/>
          </w:tcPr>
          <w:p w14:paraId="1439C3F4" w14:textId="32B63C08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551" w:type="dxa"/>
          </w:tcPr>
          <w:p w14:paraId="071F2C94" w14:textId="63249731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126" w:type="dxa"/>
          </w:tcPr>
          <w:p w14:paraId="51FDE170" w14:textId="592FA8AF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Year 3</w:t>
            </w:r>
          </w:p>
        </w:tc>
        <w:tc>
          <w:tcPr>
            <w:tcW w:w="2127" w:type="dxa"/>
          </w:tcPr>
          <w:p w14:paraId="13BE5DF5" w14:textId="2EC87F02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1984" w:type="dxa"/>
          </w:tcPr>
          <w:p w14:paraId="0927326F" w14:textId="244085C0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2210" w:type="dxa"/>
          </w:tcPr>
          <w:p w14:paraId="71B72EEE" w14:textId="3327F3FF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</w:tr>
      <w:tr w:rsidR="002D6D7F" w14:paraId="38D05BC3" w14:textId="1EBAE49D" w:rsidTr="5ADF0D65">
        <w:trPr>
          <w:trHeight w:val="9960"/>
        </w:trPr>
        <w:tc>
          <w:tcPr>
            <w:tcW w:w="1980" w:type="dxa"/>
          </w:tcPr>
          <w:p w14:paraId="59CD6359" w14:textId="6E243743" w:rsidR="00C745AE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Outcomes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>c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hildren will </w:t>
            </w:r>
            <w:r w:rsidR="003D71B8" w:rsidRPr="5ADF0D65">
              <w:rPr>
                <w:rFonts w:ascii="Arial" w:hAnsi="Arial" w:cs="Arial"/>
                <w:sz w:val="20"/>
                <w:szCs w:val="20"/>
              </w:rPr>
              <w:t xml:space="preserve">k now how to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write recognisable letters.</w:t>
            </w:r>
          </w:p>
          <w:p w14:paraId="572A9F00" w14:textId="77777777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E0D32" w14:textId="6AFE588F" w:rsidR="00C745AE" w:rsidRDefault="00F65775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Children are taught to </w:t>
            </w:r>
            <w:r w:rsidR="00F82044" w:rsidRPr="5ADF0D65">
              <w:rPr>
                <w:rFonts w:ascii="Arial" w:hAnsi="Arial" w:cs="Arial"/>
                <w:sz w:val="20"/>
                <w:szCs w:val="20"/>
              </w:rPr>
              <w:t>h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old a pencil effectively using the ‘tripod’ grip (thumb and first 2 fingers).</w:t>
            </w:r>
          </w:p>
          <w:p w14:paraId="5E74EB58" w14:textId="2FB02CCC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Correct letter formation 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demonstrated and practised daily during phonics </w:t>
            </w:r>
            <w:r w:rsidR="00F82044" w:rsidRPr="5ADF0D65">
              <w:rPr>
                <w:rFonts w:ascii="Arial" w:hAnsi="Arial" w:cs="Arial"/>
                <w:sz w:val="20"/>
                <w:szCs w:val="20"/>
              </w:rPr>
              <w:t xml:space="preserve">or small group </w:t>
            </w:r>
            <w:r w:rsidRPr="5ADF0D65">
              <w:rPr>
                <w:rFonts w:ascii="Arial" w:hAnsi="Arial" w:cs="Arial"/>
                <w:sz w:val="20"/>
                <w:szCs w:val="20"/>
              </w:rPr>
              <w:t>sessions.</w:t>
            </w:r>
          </w:p>
          <w:p w14:paraId="3E88FCFB" w14:textId="27446D57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A56DF0" w14:textId="7C9EC842" w:rsidR="00C745AE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Outcomes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– children will </w:t>
            </w:r>
            <w:r w:rsidR="003D71B8" w:rsidRPr="5ADF0D65">
              <w:rPr>
                <w:rFonts w:ascii="Arial" w:hAnsi="Arial" w:cs="Arial"/>
                <w:sz w:val="20"/>
                <w:szCs w:val="20"/>
              </w:rPr>
              <w:t xml:space="preserve">know how to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form all letters correctly by starting and finishing in the correct place.</w:t>
            </w:r>
          </w:p>
          <w:p w14:paraId="3C150F4A" w14:textId="77777777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8A637" w14:textId="7D0F8F6B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Correct printed letter formation, with lead in from line, is demonstrated and practised daily during phonics sessions.</w:t>
            </w:r>
          </w:p>
          <w:p w14:paraId="58FE019E" w14:textId="2390ED15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C5070" w14:textId="7C7B256B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Correct formation of lower case and capital letters taught in handwriting sessions.</w:t>
            </w:r>
          </w:p>
          <w:p w14:paraId="1B577F79" w14:textId="2F0C378C" w:rsidR="002F60DE" w:rsidRDefault="002F60D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Handwriting families – ladder letters: l,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>, u, j, y</w:t>
            </w:r>
          </w:p>
          <w:p w14:paraId="198FA238" w14:textId="2BEEC4BB" w:rsidR="002F60DE" w:rsidRDefault="002F60D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One armed robot = r, m, n, b, h, k, p</w:t>
            </w:r>
          </w:p>
          <w:p w14:paraId="6534D359" w14:textId="07710928" w:rsidR="002F60DE" w:rsidRDefault="002F60D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Curly caterpillar: c, a, o, q, g, d, e, s,</w:t>
            </w:r>
            <w:r w:rsidR="0044454A" w:rsidRPr="5ADF0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ADF0D65">
              <w:rPr>
                <w:rFonts w:ascii="Arial" w:hAnsi="Arial" w:cs="Arial"/>
                <w:sz w:val="20"/>
                <w:szCs w:val="20"/>
              </w:rPr>
              <w:t>f</w:t>
            </w:r>
          </w:p>
          <w:p w14:paraId="47BCDCA2" w14:textId="6E760A25" w:rsidR="002F60DE" w:rsidRDefault="002F60D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Zigzag monster: v, w, x, z</w:t>
            </w:r>
          </w:p>
          <w:p w14:paraId="0D57495D" w14:textId="77777777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B2E45" w14:textId="2B2164A3" w:rsidR="00C745AE" w:rsidRDefault="002F60D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In the summer term, s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imple diagonal joins introduced </w:t>
            </w:r>
            <w:r w:rsidR="00F82044" w:rsidRPr="5ADF0D65">
              <w:rPr>
                <w:rFonts w:ascii="Arial" w:hAnsi="Arial" w:cs="Arial"/>
                <w:sz w:val="20"/>
                <w:szCs w:val="20"/>
              </w:rPr>
              <w:t>where appropriate</w:t>
            </w:r>
          </w:p>
          <w:p w14:paraId="08732DD6" w14:textId="45125B53" w:rsidR="00C745AE" w:rsidRDefault="00C745AE" w:rsidP="5ADF0D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short diagonals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eg.i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 to u, a to m</w:t>
            </w:r>
            <w:r w:rsidR="002F60DE" w:rsidRPr="5ADF0D65">
              <w:rPr>
                <w:rFonts w:ascii="Arial" w:hAnsi="Arial" w:cs="Arial"/>
                <w:sz w:val="20"/>
                <w:szCs w:val="20"/>
              </w:rPr>
              <w:t xml:space="preserve">, d to </w:t>
            </w:r>
            <w:proofErr w:type="spellStart"/>
            <w:r w:rsidR="002F60DE" w:rsidRPr="5ADF0D6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2F60DE" w:rsidRPr="5ADF0D65">
              <w:rPr>
                <w:rFonts w:ascii="Arial" w:hAnsi="Arial" w:cs="Arial"/>
                <w:sz w:val="20"/>
                <w:szCs w:val="20"/>
              </w:rPr>
              <w:t>, n to u, e to v</w:t>
            </w:r>
          </w:p>
          <w:p w14:paraId="5ECDAA0A" w14:textId="73039E95" w:rsidR="00C745AE" w:rsidRDefault="00C745AE" w:rsidP="5ADF0D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5ADF0D65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5ADF0D65">
              <w:rPr>
                <w:rFonts w:ascii="Arial" w:hAnsi="Arial" w:cs="Arial"/>
                <w:sz w:val="20"/>
                <w:szCs w:val="20"/>
              </w:rPr>
              <w:t xml:space="preserve"> ascenders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. t to h,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F60DE" w:rsidRPr="5ADF0D65">
              <w:rPr>
                <w:rFonts w:ascii="Arial" w:hAnsi="Arial" w:cs="Arial"/>
                <w:sz w:val="20"/>
                <w:szCs w:val="20"/>
              </w:rPr>
              <w:t>b, e to l, a to h</w:t>
            </w:r>
          </w:p>
          <w:p w14:paraId="285DF22A" w14:textId="008A7A99" w:rsidR="00C745AE" w:rsidRPr="007278B0" w:rsidRDefault="00C745AE" w:rsidP="5ADF0D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5ADF0D65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5ADF0D65">
              <w:rPr>
                <w:rFonts w:ascii="Arial" w:hAnsi="Arial" w:cs="Arial"/>
                <w:sz w:val="20"/>
                <w:szCs w:val="20"/>
              </w:rPr>
              <w:t xml:space="preserve"> descenders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to p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F60DE" w:rsidRPr="5ADF0D6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 xml:space="preserve"> to y</w:t>
            </w:r>
            <w:r w:rsidR="002F60DE" w:rsidRPr="5ADF0D65">
              <w:rPr>
                <w:rFonts w:ascii="Arial" w:hAnsi="Arial" w:cs="Arial"/>
                <w:sz w:val="20"/>
                <w:szCs w:val="20"/>
              </w:rPr>
              <w:t>, n to j</w:t>
            </w:r>
          </w:p>
        </w:tc>
        <w:tc>
          <w:tcPr>
            <w:tcW w:w="2551" w:type="dxa"/>
          </w:tcPr>
          <w:p w14:paraId="5C44DEA3" w14:textId="5CDD3EEA" w:rsidR="00C745AE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Outcomes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 – children will </w:t>
            </w:r>
            <w:r w:rsidR="003D71B8" w:rsidRPr="5ADF0D65">
              <w:rPr>
                <w:rFonts w:ascii="Arial" w:hAnsi="Arial" w:cs="Arial"/>
                <w:sz w:val="20"/>
                <w:szCs w:val="20"/>
              </w:rPr>
              <w:t xml:space="preserve">know how to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form lower case and capital letters 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 xml:space="preserve">correctly, 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 xml:space="preserve">showing awareness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of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 xml:space="preserve"> letter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 size relative to each other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>.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>A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scenders and descenders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 xml:space="preserve"> are clear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. Children will begin to join their handwriting independently.</w:t>
            </w:r>
          </w:p>
          <w:p w14:paraId="4B805F51" w14:textId="25ED644B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D4DF1" w14:textId="19E2C2F6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In handwriting lessons, children </w:t>
            </w:r>
            <w:r w:rsidR="00F82044" w:rsidRPr="5ADF0D65">
              <w:rPr>
                <w:rFonts w:ascii="Arial" w:hAnsi="Arial" w:cs="Arial"/>
                <w:sz w:val="20"/>
                <w:szCs w:val="20"/>
              </w:rPr>
              <w:t>revise joins from Y1 and move on to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D860C0C" w14:textId="2F5D47A4" w:rsidR="00C745AE" w:rsidRDefault="00C745AE" w:rsidP="5ADF0D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 ‘Bridge’ joins - from r, f, o, </w:t>
            </w:r>
            <w:proofErr w:type="gramStart"/>
            <w:r w:rsidRPr="5ADF0D65"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  <w:r w:rsidRPr="5ADF0D65">
              <w:rPr>
                <w:rFonts w:ascii="Arial" w:hAnsi="Arial" w:cs="Arial"/>
                <w:sz w:val="20"/>
                <w:szCs w:val="20"/>
              </w:rPr>
              <w:t>, w.</w:t>
            </w:r>
          </w:p>
          <w:p w14:paraId="356C5E38" w14:textId="68A6361F" w:rsidR="00C745AE" w:rsidRPr="009F6790" w:rsidRDefault="00C745AE" w:rsidP="5ADF0D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Joins from ‘underneath’ – from b, s, </w:t>
            </w:r>
            <w:proofErr w:type="gramStart"/>
            <w:r w:rsidRPr="5ADF0D6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5ADF0D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32EF6" w14:textId="1B33B1A9" w:rsidR="00C745AE" w:rsidRPr="009F6790" w:rsidRDefault="00C745AE" w:rsidP="5ADF0D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Joins from descenders – from g, j, </w:t>
            </w:r>
            <w:proofErr w:type="gramStart"/>
            <w:r w:rsidRPr="5ADF0D65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5ADF0D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94A3BA" w14:textId="1FE2EFF4" w:rsidR="00C745AE" w:rsidRPr="002D0AB6" w:rsidRDefault="00C745AE" w:rsidP="5ADF0D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‘Round and back’ join - when joining to</w:t>
            </w:r>
            <w:r w:rsidR="002F60DE" w:rsidRPr="5ADF0D65">
              <w:rPr>
                <w:rFonts w:ascii="Arial" w:hAnsi="Arial" w:cs="Arial"/>
                <w:sz w:val="20"/>
                <w:szCs w:val="20"/>
              </w:rPr>
              <w:t xml:space="preserve"> Curly Caterpillar letters </w:t>
            </w:r>
          </w:p>
          <w:p w14:paraId="6F71DFF5" w14:textId="77777777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00BF3" w14:textId="77777777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8A3E8" w14:textId="2182E591" w:rsidR="00C745AE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Outcomes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– children will </w:t>
            </w:r>
            <w:r w:rsidR="00060B5B" w:rsidRPr="5ADF0D65">
              <w:rPr>
                <w:rFonts w:ascii="Arial" w:hAnsi="Arial" w:cs="Arial"/>
                <w:sz w:val="20"/>
                <w:szCs w:val="20"/>
              </w:rPr>
              <w:t xml:space="preserve">know how to 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>write with increasing consistency in size and proportion of their letters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 xml:space="preserve"> with defined ascenders and descenders.</w:t>
            </w:r>
            <w:r w:rsidR="00C745AE" w:rsidRPr="5ADF0D65">
              <w:rPr>
                <w:rFonts w:ascii="Arial" w:hAnsi="Arial" w:cs="Arial"/>
                <w:sz w:val="20"/>
                <w:szCs w:val="20"/>
              </w:rPr>
              <w:t xml:space="preserve"> Children will begin to be more consistent in the joining of their independent handwriting.</w:t>
            </w:r>
          </w:p>
          <w:p w14:paraId="2300702A" w14:textId="77777777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7492F" w14:textId="7B507E03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In handwriting lessons, children are given the opportunity to </w:t>
            </w:r>
            <w:r w:rsidR="003D71B8" w:rsidRPr="5ADF0D65">
              <w:rPr>
                <w:rFonts w:ascii="Arial" w:hAnsi="Arial" w:cs="Arial"/>
                <w:sz w:val="20"/>
                <w:szCs w:val="20"/>
              </w:rPr>
              <w:t xml:space="preserve">revise and </w:t>
            </w:r>
            <w:r w:rsidRPr="5ADF0D65">
              <w:rPr>
                <w:rFonts w:ascii="Arial" w:hAnsi="Arial" w:cs="Arial"/>
                <w:sz w:val="20"/>
                <w:szCs w:val="20"/>
              </w:rPr>
              <w:t>practise their joining skills with the emphasis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 xml:space="preserve"> on corr</w:t>
            </w:r>
            <w:bookmarkStart w:id="0" w:name="_GoBack"/>
            <w:bookmarkEnd w:id="0"/>
            <w:r w:rsidR="002D6D7F" w:rsidRPr="5ADF0D65">
              <w:rPr>
                <w:rFonts w:ascii="Arial" w:hAnsi="Arial" w:cs="Arial"/>
                <w:sz w:val="20"/>
                <w:szCs w:val="20"/>
              </w:rPr>
              <w:t>ect joins.</w:t>
            </w:r>
          </w:p>
        </w:tc>
        <w:tc>
          <w:tcPr>
            <w:tcW w:w="2127" w:type="dxa"/>
          </w:tcPr>
          <w:p w14:paraId="3C51D106" w14:textId="77777777" w:rsidR="00637291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Outcomes </w:t>
            </w:r>
          </w:p>
          <w:p w14:paraId="48174D28" w14:textId="7C9D5EFB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 w:rsidRPr="5ADF0D65">
              <w:rPr>
                <w:rFonts w:ascii="Arial" w:hAnsi="Arial" w:cs="Arial"/>
                <w:sz w:val="20"/>
                <w:szCs w:val="20"/>
              </w:rPr>
              <w:t>children’s</w:t>
            </w:r>
            <w:proofErr w:type="gramEnd"/>
            <w:r w:rsidRPr="5ADF0D65">
              <w:rPr>
                <w:rFonts w:ascii="Arial" w:hAnsi="Arial" w:cs="Arial"/>
                <w:sz w:val="20"/>
                <w:szCs w:val="20"/>
              </w:rPr>
              <w:t xml:space="preserve"> independent handwriting will be legible, neat and joined with the expectation of using a pen to write.</w:t>
            </w:r>
          </w:p>
          <w:p w14:paraId="7C5C0FDF" w14:textId="77777777" w:rsidR="00C745AE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93BE8" w14:textId="39F9C308" w:rsidR="002D6D7F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In handwriting lessons, children are given the opportunity to practise and refine their joining skills </w:t>
            </w:r>
            <w:r w:rsidR="00637291" w:rsidRPr="5ADF0D65">
              <w:rPr>
                <w:rFonts w:ascii="Arial" w:hAnsi="Arial" w:cs="Arial"/>
                <w:sz w:val="20"/>
                <w:szCs w:val="20"/>
              </w:rPr>
              <w:t>using a pen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>, with the emphasis on consistent size and neatness.</w:t>
            </w:r>
          </w:p>
          <w:p w14:paraId="723F7D18" w14:textId="5B33EAE7" w:rsidR="00C745AE" w:rsidRPr="007278B0" w:rsidRDefault="00C745AE" w:rsidP="5ADF0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64808D" w14:textId="13E3D84D" w:rsidR="00C745AE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Outcomes – children will </w:t>
            </w:r>
            <w:r w:rsidR="003D71B8" w:rsidRPr="5ADF0D65">
              <w:rPr>
                <w:rFonts w:ascii="Arial" w:hAnsi="Arial" w:cs="Arial"/>
                <w:sz w:val="20"/>
                <w:szCs w:val="20"/>
              </w:rPr>
              <w:t>know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 when it is appropriate to print rather than join (</w:t>
            </w:r>
            <w:proofErr w:type="spellStart"/>
            <w:r w:rsidRPr="5ADF0D6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5ADF0D65">
              <w:rPr>
                <w:rFonts w:ascii="Arial" w:hAnsi="Arial" w:cs="Arial"/>
                <w:sz w:val="20"/>
                <w:szCs w:val="20"/>
              </w:rPr>
              <w:t>. labelling a diagram, filling in a form or writing an email address). Joined handwriting is neat and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 xml:space="preserve"> increasingly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 fluent</w:t>
            </w:r>
            <w:r w:rsidR="002D6D7F" w:rsidRPr="5ADF0D65">
              <w:rPr>
                <w:rFonts w:ascii="Arial" w:hAnsi="Arial" w:cs="Arial"/>
                <w:sz w:val="20"/>
                <w:szCs w:val="20"/>
              </w:rPr>
              <w:t xml:space="preserve"> using a pen</w:t>
            </w:r>
            <w:r w:rsidRPr="5ADF0D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A4AB66" w14:textId="77777777" w:rsidR="002D6D7F" w:rsidRDefault="002D6D7F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EE693" w14:textId="578C3C7F" w:rsidR="002D6D7F" w:rsidRPr="007278B0" w:rsidRDefault="002D6D7F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In handwriting lessons, children are given the opportunity to practise and refine their joining skills using a pen with the emphasis on fluency.</w:t>
            </w:r>
          </w:p>
        </w:tc>
        <w:tc>
          <w:tcPr>
            <w:tcW w:w="2210" w:type="dxa"/>
          </w:tcPr>
          <w:p w14:paraId="0A51DB64" w14:textId="0B9D1655" w:rsidR="00637291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Outcomes – </w:t>
            </w:r>
            <w:r w:rsidR="00060B5B" w:rsidRPr="5ADF0D65">
              <w:rPr>
                <w:rFonts w:ascii="Arial" w:hAnsi="Arial" w:cs="Arial"/>
                <w:sz w:val="20"/>
                <w:szCs w:val="20"/>
              </w:rPr>
              <w:t xml:space="preserve">children’s </w:t>
            </w:r>
            <w:r w:rsidRPr="5ADF0D65">
              <w:rPr>
                <w:rFonts w:ascii="Arial" w:hAnsi="Arial" w:cs="Arial"/>
                <w:sz w:val="20"/>
                <w:szCs w:val="20"/>
              </w:rPr>
              <w:t>joined handwriting is effortless and used without thinking.</w:t>
            </w:r>
          </w:p>
          <w:p w14:paraId="5CF75490" w14:textId="77777777" w:rsidR="00C745AE" w:rsidRDefault="00637291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 xml:space="preserve">Children are able to develop their own style as long as it aids their transcription and their writing continues to be neat and legible. </w:t>
            </w:r>
          </w:p>
          <w:p w14:paraId="557F7AF4" w14:textId="77777777" w:rsidR="002D6D7F" w:rsidRDefault="002D6D7F" w:rsidP="5ADF0D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1267E" w14:textId="1A4ABF7C" w:rsidR="002D6D7F" w:rsidRPr="007278B0" w:rsidRDefault="002D6D7F" w:rsidP="5ADF0D65">
            <w:pPr>
              <w:rPr>
                <w:rFonts w:ascii="Arial" w:hAnsi="Arial" w:cs="Arial"/>
                <w:sz w:val="20"/>
                <w:szCs w:val="20"/>
              </w:rPr>
            </w:pPr>
            <w:r w:rsidRPr="5ADF0D65">
              <w:rPr>
                <w:rFonts w:ascii="Arial" w:hAnsi="Arial" w:cs="Arial"/>
                <w:sz w:val="20"/>
                <w:szCs w:val="20"/>
              </w:rPr>
              <w:t>In handwriting lessons, children continue to practise and refine their</w:t>
            </w:r>
            <w:r w:rsidR="00F82044" w:rsidRPr="5ADF0D65">
              <w:rPr>
                <w:rFonts w:ascii="Arial" w:hAnsi="Arial" w:cs="Arial"/>
                <w:sz w:val="20"/>
                <w:szCs w:val="20"/>
              </w:rPr>
              <w:t xml:space="preserve"> cursive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294" w:rsidRPr="5ADF0D65">
              <w:rPr>
                <w:rFonts w:ascii="Arial" w:hAnsi="Arial" w:cs="Arial"/>
                <w:sz w:val="20"/>
                <w:szCs w:val="20"/>
              </w:rPr>
              <w:t>handwriting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 using a pen of their choice</w:t>
            </w:r>
            <w:r w:rsidR="00780294" w:rsidRPr="5ADF0D65">
              <w:rPr>
                <w:rFonts w:ascii="Arial" w:hAnsi="Arial" w:cs="Arial"/>
                <w:sz w:val="20"/>
                <w:szCs w:val="20"/>
              </w:rPr>
              <w:t xml:space="preserve"> (blue ink, not a biro)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, with the emphasis on developing a </w:t>
            </w:r>
            <w:r w:rsidR="00F82044" w:rsidRPr="5ADF0D65">
              <w:rPr>
                <w:rFonts w:ascii="Arial" w:hAnsi="Arial" w:cs="Arial"/>
                <w:sz w:val="20"/>
                <w:szCs w:val="20"/>
              </w:rPr>
              <w:t xml:space="preserve">neat, cursive independent 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style that </w:t>
            </w:r>
            <w:r w:rsidR="00F65775" w:rsidRPr="5ADF0D65">
              <w:rPr>
                <w:rFonts w:ascii="Arial" w:hAnsi="Arial" w:cs="Arial"/>
                <w:sz w:val="20"/>
                <w:szCs w:val="20"/>
              </w:rPr>
              <w:t>ai</w:t>
            </w:r>
            <w:r w:rsidRPr="5ADF0D65">
              <w:rPr>
                <w:rFonts w:ascii="Arial" w:hAnsi="Arial" w:cs="Arial"/>
                <w:sz w:val="20"/>
                <w:szCs w:val="20"/>
              </w:rPr>
              <w:t>ds</w:t>
            </w:r>
            <w:r w:rsidR="00780294" w:rsidRPr="5ADF0D65">
              <w:rPr>
                <w:rFonts w:ascii="Arial" w:hAnsi="Arial" w:cs="Arial"/>
                <w:sz w:val="20"/>
                <w:szCs w:val="20"/>
              </w:rPr>
              <w:t xml:space="preserve"> and benefits</w:t>
            </w:r>
            <w:r w:rsidR="00060B5B" w:rsidRPr="5ADF0D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ADF0D65">
              <w:rPr>
                <w:rFonts w:ascii="Arial" w:hAnsi="Arial" w:cs="Arial"/>
                <w:sz w:val="20"/>
                <w:szCs w:val="20"/>
              </w:rPr>
              <w:t xml:space="preserve"> their transcription.</w:t>
            </w:r>
          </w:p>
        </w:tc>
      </w:tr>
    </w:tbl>
    <w:p w14:paraId="7B77B4D0" w14:textId="77777777" w:rsidR="007278B0" w:rsidRDefault="007278B0" w:rsidP="5ADF0D65">
      <w:pPr>
        <w:rPr>
          <w:sz w:val="20"/>
          <w:szCs w:val="20"/>
        </w:rPr>
      </w:pPr>
    </w:p>
    <w:sectPr w:rsidR="007278B0" w:rsidSect="007278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888"/>
    <w:multiLevelType w:val="hybridMultilevel"/>
    <w:tmpl w:val="5266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361BD"/>
    <w:multiLevelType w:val="hybridMultilevel"/>
    <w:tmpl w:val="C9F8A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A251E"/>
    <w:multiLevelType w:val="hybridMultilevel"/>
    <w:tmpl w:val="34DC2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6736C"/>
    <w:multiLevelType w:val="hybridMultilevel"/>
    <w:tmpl w:val="A9CA2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69"/>
    <w:rsid w:val="00060B5B"/>
    <w:rsid w:val="00090ABD"/>
    <w:rsid w:val="001B4DFB"/>
    <w:rsid w:val="00287669"/>
    <w:rsid w:val="002D0AB6"/>
    <w:rsid w:val="002D6D7F"/>
    <w:rsid w:val="002F60DE"/>
    <w:rsid w:val="003A4523"/>
    <w:rsid w:val="003B7573"/>
    <w:rsid w:val="003D71B8"/>
    <w:rsid w:val="0044454A"/>
    <w:rsid w:val="00637291"/>
    <w:rsid w:val="0066419B"/>
    <w:rsid w:val="007278B0"/>
    <w:rsid w:val="00780294"/>
    <w:rsid w:val="009F6790"/>
    <w:rsid w:val="00C745AE"/>
    <w:rsid w:val="00CC2B8A"/>
    <w:rsid w:val="00ED32C2"/>
    <w:rsid w:val="00F65775"/>
    <w:rsid w:val="00F82044"/>
    <w:rsid w:val="17DD861E"/>
    <w:rsid w:val="5ADF0D65"/>
    <w:rsid w:val="646CC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DC11"/>
  <w15:chartTrackingRefBased/>
  <w15:docId w15:val="{E9F1A928-15F1-4D91-893D-72AA9AD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36973ca-a7ce-4df3-8092-f6429753cbe8" xsi:nil="true"/>
    <SharedWithUsers xmlns="36e70f23-7f29-450e-9061-f22fce1ddfe3">
      <UserInfo>
        <DisplayName/>
        <AccountId xsi:nil="true"/>
        <AccountType/>
      </UserInfo>
    </SharedWithUsers>
    <TaxCatchAll xmlns="36e70f23-7f29-450e-9061-f22fce1ddfe3" xsi:nil="true"/>
    <lcf76f155ced4ddcb4097134ff3c332f xmlns="336973ca-a7ce-4df3-8092-f6429753cb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7" ma:contentTypeDescription="Create a new document." ma:contentTypeScope="" ma:versionID="ace717567fc795019e6b8a8f8bdcd535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6416f53541b0fc1a54e0fc006eb564f0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9259c4-1696-4464-89d1-b6e321e53e55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B389B-3F0F-41BA-A72D-EC0515F35CB8}">
  <ds:schemaRefs>
    <ds:schemaRef ds:uri="http://schemas.microsoft.com/office/2006/metadata/properties"/>
    <ds:schemaRef ds:uri="http://schemas.microsoft.com/office/infopath/2007/PartnerControls"/>
    <ds:schemaRef ds:uri="336973ca-a7ce-4df3-8092-f6429753cbe8"/>
    <ds:schemaRef ds:uri="36e70f23-7f29-450e-9061-f22fce1ddfe3"/>
  </ds:schemaRefs>
</ds:datastoreItem>
</file>

<file path=customXml/itemProps2.xml><?xml version="1.0" encoding="utf-8"?>
<ds:datastoreItem xmlns:ds="http://schemas.openxmlformats.org/officeDocument/2006/customXml" ds:itemID="{7F1C1190-4D3F-4E03-A87D-A19446627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5E696-C21F-423E-BD9F-4F561A2EE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73ca-a7ce-4df3-8092-f6429753cbe8"/>
    <ds:schemaRef ds:uri="36e70f23-7f29-450e-9061-f22fce1d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Conway</dc:creator>
  <cp:keywords/>
  <dc:description/>
  <cp:lastModifiedBy>Freya Conway</cp:lastModifiedBy>
  <cp:revision>2</cp:revision>
  <dcterms:created xsi:type="dcterms:W3CDTF">2023-07-20T12:51:00Z</dcterms:created>
  <dcterms:modified xsi:type="dcterms:W3CDTF">2023-07-20T12:51:00Z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3724600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0x0101005A18CB99E205E2449BC5A8966F0DB608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